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D6C224">
      <w:pPr>
        <w:jc w:val="center"/>
        <w:rPr>
          <w:rFonts w:hint="eastAsia" w:cs="宋体"/>
          <w:b/>
          <w:bCs/>
          <w:color w:val="000000"/>
          <w:sz w:val="84"/>
          <w:szCs w:val="84"/>
        </w:rPr>
      </w:pPr>
    </w:p>
    <w:p w14:paraId="39305B49">
      <w:pPr>
        <w:jc w:val="center"/>
        <w:rPr>
          <w:b/>
          <w:bCs/>
          <w:color w:val="000000"/>
          <w:sz w:val="84"/>
          <w:szCs w:val="84"/>
        </w:rPr>
      </w:pPr>
      <w:r>
        <w:rPr>
          <w:rFonts w:hint="eastAsia" w:cs="宋体"/>
          <w:b/>
          <w:bCs/>
          <w:color w:val="000000"/>
          <w:sz w:val="84"/>
          <w:szCs w:val="84"/>
        </w:rPr>
        <w:t>竞争性</w:t>
      </w:r>
      <w:r>
        <w:rPr>
          <w:rFonts w:hint="eastAsia" w:cs="宋体"/>
          <w:b/>
          <w:bCs/>
          <w:color w:val="000000"/>
          <w:sz w:val="84"/>
          <w:szCs w:val="84"/>
          <w:lang w:eastAsia="zh-CN"/>
        </w:rPr>
        <w:t>磋商公告</w:t>
      </w:r>
    </w:p>
    <w:p w14:paraId="0D6025BC">
      <w:pPr>
        <w:autoSpaceDE w:val="0"/>
        <w:autoSpaceDN w:val="0"/>
        <w:adjustRightInd w:val="0"/>
        <w:spacing w:line="360" w:lineRule="auto"/>
        <w:rPr>
          <w:b/>
          <w:bCs/>
          <w:color w:val="000000"/>
          <w:sz w:val="30"/>
          <w:szCs w:val="30"/>
        </w:rPr>
      </w:pPr>
    </w:p>
    <w:p w14:paraId="15A72892">
      <w:pPr>
        <w:autoSpaceDE w:val="0"/>
        <w:autoSpaceDN w:val="0"/>
        <w:adjustRightInd w:val="0"/>
        <w:spacing w:line="360" w:lineRule="auto"/>
        <w:rPr>
          <w:b/>
          <w:bCs/>
          <w:color w:val="000000"/>
          <w:sz w:val="30"/>
          <w:szCs w:val="30"/>
        </w:rPr>
      </w:pPr>
    </w:p>
    <w:p w14:paraId="242D9236">
      <w:pPr>
        <w:autoSpaceDE w:val="0"/>
        <w:autoSpaceDN w:val="0"/>
        <w:adjustRightInd w:val="0"/>
        <w:spacing w:line="360" w:lineRule="auto"/>
        <w:rPr>
          <w:b/>
          <w:bCs/>
          <w:color w:val="000000"/>
          <w:sz w:val="30"/>
          <w:szCs w:val="30"/>
        </w:rPr>
      </w:pPr>
    </w:p>
    <w:p w14:paraId="08853303">
      <w:pPr>
        <w:autoSpaceDE w:val="0"/>
        <w:autoSpaceDN w:val="0"/>
        <w:adjustRightInd w:val="0"/>
        <w:spacing w:line="360" w:lineRule="auto"/>
        <w:rPr>
          <w:b/>
          <w:bCs/>
          <w:color w:val="000000"/>
          <w:sz w:val="30"/>
          <w:szCs w:val="30"/>
        </w:rPr>
      </w:pPr>
    </w:p>
    <w:p w14:paraId="051DFCB8">
      <w:pPr>
        <w:autoSpaceDE w:val="0"/>
        <w:autoSpaceDN w:val="0"/>
        <w:adjustRightInd w:val="0"/>
        <w:spacing w:line="360" w:lineRule="auto"/>
        <w:rPr>
          <w:b/>
          <w:bCs/>
          <w:color w:val="000000"/>
          <w:sz w:val="30"/>
          <w:szCs w:val="30"/>
        </w:rPr>
      </w:pPr>
    </w:p>
    <w:p w14:paraId="4CA8CE68">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w:t>
      </w:r>
      <w:r>
        <w:rPr>
          <w:rFonts w:hint="eastAsia" w:ascii="楷体_GB2312" w:hAnsi="楷体_GB2312" w:eastAsia="楷体_GB2312" w:cs="楷体_GB2312"/>
          <w:b/>
          <w:bCs/>
          <w:color w:val="000000"/>
          <w:sz w:val="36"/>
          <w:szCs w:val="36"/>
          <w:u w:val="single"/>
          <w:lang w:val="en-US" w:eastAsia="zh-CN"/>
        </w:rPr>
        <w:t>24</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23</w:t>
      </w:r>
      <w:r>
        <w:rPr>
          <w:rFonts w:hint="eastAsia" w:ascii="楷体_GB2312" w:hAnsi="楷体_GB2312" w:eastAsia="楷体_GB2312" w:cs="楷体_GB2312"/>
          <w:b/>
          <w:bCs/>
          <w:color w:val="000000"/>
          <w:sz w:val="36"/>
          <w:szCs w:val="36"/>
          <w:u w:val="single"/>
        </w:rPr>
        <w:t>#</w:t>
      </w:r>
    </w:p>
    <w:p w14:paraId="5E3BB535">
      <w:pPr>
        <w:keepNext w:val="0"/>
        <w:keepLines w:val="0"/>
        <w:pageBreakBefore w:val="0"/>
        <w:widowControl w:val="0"/>
        <w:kinsoku/>
        <w:wordWrap/>
        <w:overflowPunct/>
        <w:topLinePunct w:val="0"/>
        <w:autoSpaceDE/>
        <w:autoSpaceDN/>
        <w:bidi w:val="0"/>
        <w:adjustRightInd/>
        <w:snapToGrid/>
        <w:spacing w:line="660" w:lineRule="exact"/>
        <w:jc w:val="both"/>
        <w:textAlignment w:val="auto"/>
        <w:outlineLvl w:val="9"/>
        <w:rPr>
          <w:rFonts w:hint="eastAsia" w:ascii="楷体_GB2312" w:hAnsi="楷体_GB2312" w:eastAsia="宋体" w:cs="楷体_GB2312"/>
          <w:b/>
          <w:bCs/>
          <w:color w:val="000000"/>
          <w:sz w:val="36"/>
          <w:szCs w:val="36"/>
          <w:u w:val="single"/>
          <w:lang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学生平安保险项目（二次）</w:t>
      </w:r>
    </w:p>
    <w:p w14:paraId="21FE03D7">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cs="宋体"/>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14:paraId="73AAAC3C">
      <w:pPr>
        <w:jc w:val="center"/>
        <w:rPr>
          <w:rFonts w:ascii="宋体" w:cs="宋体"/>
          <w:b/>
          <w:bCs/>
          <w:color w:val="000000"/>
          <w:sz w:val="36"/>
          <w:szCs w:val="36"/>
          <w:lang w:val="zh-TW"/>
        </w:rPr>
      </w:pPr>
    </w:p>
    <w:p w14:paraId="123519D2">
      <w:pPr>
        <w:jc w:val="center"/>
        <w:rPr>
          <w:rFonts w:ascii="宋体" w:cs="宋体"/>
          <w:b/>
          <w:bCs/>
          <w:color w:val="000000"/>
          <w:sz w:val="36"/>
          <w:szCs w:val="36"/>
          <w:lang w:val="zh-TW"/>
        </w:rPr>
      </w:pPr>
    </w:p>
    <w:p w14:paraId="3BD5CEF4">
      <w:pPr>
        <w:jc w:val="center"/>
        <w:rPr>
          <w:rFonts w:ascii="宋体" w:cs="宋体"/>
          <w:b/>
          <w:bCs/>
          <w:color w:val="000000"/>
          <w:sz w:val="36"/>
          <w:szCs w:val="36"/>
          <w:lang w:val="zh-TW"/>
        </w:rPr>
      </w:pPr>
    </w:p>
    <w:p w14:paraId="57FF1FE9">
      <w:pPr>
        <w:jc w:val="center"/>
        <w:rPr>
          <w:rFonts w:ascii="宋体" w:cs="宋体"/>
          <w:b/>
          <w:bCs/>
          <w:color w:val="000000"/>
          <w:sz w:val="36"/>
          <w:szCs w:val="36"/>
          <w:lang w:val="zh-TW"/>
        </w:rPr>
      </w:pPr>
    </w:p>
    <w:p w14:paraId="5AFE9E73">
      <w:pPr>
        <w:jc w:val="center"/>
        <w:rPr>
          <w:rFonts w:ascii="宋体" w:cs="宋体"/>
          <w:b/>
          <w:bCs/>
          <w:color w:val="000000"/>
          <w:sz w:val="36"/>
          <w:szCs w:val="36"/>
          <w:lang w:val="zh-TW"/>
        </w:rPr>
      </w:pPr>
    </w:p>
    <w:p w14:paraId="6F4CC59C">
      <w:pPr>
        <w:jc w:val="center"/>
        <w:rPr>
          <w:rFonts w:ascii="黑体" w:eastAsia="黑体" w:cs="黑体"/>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7</w:t>
      </w:r>
      <w:r>
        <w:rPr>
          <w:rFonts w:hint="eastAsia" w:ascii="黑体" w:eastAsia="黑体" w:cs="黑体"/>
          <w:color w:val="000000"/>
          <w:sz w:val="44"/>
          <w:szCs w:val="44"/>
        </w:rPr>
        <w:t>月</w:t>
      </w:r>
    </w:p>
    <w:p w14:paraId="36770ABA">
      <w:pPr>
        <w:jc w:val="center"/>
        <w:rPr>
          <w:rFonts w:ascii="黑体" w:eastAsia="黑体" w:cs="黑体"/>
          <w:color w:val="000000"/>
          <w:sz w:val="44"/>
          <w:szCs w:val="44"/>
        </w:rPr>
      </w:pPr>
    </w:p>
    <w:p w14:paraId="5B9B22E3">
      <w:pPr>
        <w:jc w:val="center"/>
        <w:rPr>
          <w:rFonts w:ascii="黑体" w:eastAsia="黑体" w:cs="黑体"/>
          <w:color w:val="000000"/>
          <w:sz w:val="44"/>
          <w:szCs w:val="44"/>
        </w:rPr>
      </w:pPr>
    </w:p>
    <w:p w14:paraId="5D6CB726">
      <w:pPr>
        <w:jc w:val="center"/>
        <w:rPr>
          <w:rFonts w:ascii="黑体" w:eastAsia="黑体" w:cs="黑体"/>
          <w:color w:val="000000"/>
          <w:sz w:val="44"/>
          <w:szCs w:val="44"/>
        </w:rPr>
      </w:pPr>
    </w:p>
    <w:p w14:paraId="686FFF4A">
      <w:pPr>
        <w:spacing w:line="700" w:lineRule="exact"/>
        <w:jc w:val="center"/>
        <w:rPr>
          <w:rFonts w:hint="eastAsia"/>
          <w:b/>
          <w:bCs/>
          <w:sz w:val="44"/>
        </w:rPr>
      </w:pPr>
    </w:p>
    <w:p w14:paraId="23B09AFC">
      <w:pPr>
        <w:spacing w:line="700" w:lineRule="exact"/>
        <w:jc w:val="center"/>
        <w:rPr>
          <w:b/>
          <w:bCs/>
          <w:sz w:val="44"/>
        </w:rPr>
      </w:pPr>
      <w:r>
        <w:rPr>
          <w:rFonts w:hint="eastAsia"/>
          <w:b/>
          <w:bCs/>
          <w:sz w:val="44"/>
        </w:rPr>
        <w:t>提      示</w:t>
      </w:r>
    </w:p>
    <w:p w14:paraId="495DDB8A">
      <w:pPr>
        <w:spacing w:line="700" w:lineRule="exact"/>
        <w:jc w:val="center"/>
        <w:rPr>
          <w:rFonts w:ascii="仿宋_GB2312" w:eastAsia="仿宋_GB2312"/>
          <w:sz w:val="32"/>
          <w:szCs w:val="32"/>
        </w:rPr>
      </w:pPr>
    </w:p>
    <w:p w14:paraId="712520B1">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一、在签署</w:t>
      </w:r>
      <w:r>
        <w:rPr>
          <w:rFonts w:hint="eastAsia" w:ascii="仿宋_GB2312" w:hAnsi="仿宋_GB2312" w:eastAsia="仿宋_GB2312" w:cs="仿宋_GB2312"/>
          <w:color w:val="000000"/>
          <w:sz w:val="28"/>
          <w:szCs w:val="28"/>
          <w:lang w:eastAsia="zh-CN"/>
        </w:rPr>
        <w:t>磋商响应文件</w:t>
      </w:r>
      <w:r>
        <w:rPr>
          <w:rFonts w:hint="eastAsia" w:ascii="仿宋_GB2312" w:hAnsi="仿宋_GB2312" w:eastAsia="仿宋_GB2312" w:cs="仿宋_GB2312"/>
          <w:color w:val="000000"/>
          <w:sz w:val="28"/>
          <w:szCs w:val="28"/>
        </w:rPr>
        <w:t>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14:paraId="70AE31B2">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二、投标人必须对其提交文件、证件、资料的真实性、有效性和合法性承担责任。</w:t>
      </w:r>
    </w:p>
    <w:p w14:paraId="086F04B8">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三、投标人必须按照招标文件的要求详细填写和编制</w:t>
      </w:r>
      <w:r>
        <w:rPr>
          <w:rFonts w:hint="eastAsia" w:ascii="仿宋_GB2312" w:hAnsi="仿宋_GB2312" w:eastAsia="仿宋_GB2312" w:cs="仿宋_GB2312"/>
          <w:color w:val="000000"/>
          <w:sz w:val="28"/>
          <w:szCs w:val="28"/>
          <w:lang w:eastAsia="zh-CN"/>
        </w:rPr>
        <w:t>磋商响应文件</w:t>
      </w:r>
      <w:r>
        <w:rPr>
          <w:rFonts w:hint="eastAsia" w:ascii="仿宋_GB2312" w:hAnsi="仿宋_GB2312" w:eastAsia="仿宋_GB2312" w:cs="仿宋_GB2312"/>
          <w:color w:val="000000"/>
          <w:sz w:val="28"/>
          <w:szCs w:val="28"/>
        </w:rPr>
        <w:t>。</w:t>
      </w:r>
    </w:p>
    <w:p w14:paraId="5F2B4B88">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14:paraId="4736B1AA">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五、招标人：江苏省盐城技师学院</w:t>
      </w:r>
    </w:p>
    <w:p w14:paraId="6C9D9193">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王老师</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老师0515—68661002</w:t>
      </w:r>
    </w:p>
    <w:p w14:paraId="6D93B2E4">
      <w:pPr>
        <w:tabs>
          <w:tab w:val="left" w:pos="2600"/>
        </w:tabs>
        <w:spacing w:beforeLines="50" w:afterLines="50"/>
        <w:jc w:val="both"/>
        <w:rPr>
          <w:rFonts w:hint="eastAsia" w:eastAsia="黑体"/>
          <w:sz w:val="44"/>
        </w:rPr>
        <w:sectPr>
          <w:pgSz w:w="11906" w:h="16838"/>
          <w:pgMar w:top="1440" w:right="1800" w:bottom="1440" w:left="1800" w:header="851" w:footer="992" w:gutter="0"/>
          <w:cols w:space="425" w:num="1"/>
          <w:docGrid w:type="lines" w:linePitch="312" w:charSpace="0"/>
        </w:sectPr>
      </w:pPr>
    </w:p>
    <w:p w14:paraId="7422A051">
      <w:pPr>
        <w:tabs>
          <w:tab w:val="left" w:pos="2600"/>
        </w:tabs>
        <w:spacing w:beforeLines="50" w:afterLines="50"/>
        <w:jc w:val="center"/>
        <w:rPr>
          <w:rFonts w:ascii="仿宋" w:eastAsia="仿宋"/>
          <w:sz w:val="44"/>
        </w:rPr>
      </w:pPr>
      <w:r>
        <w:rPr>
          <w:rFonts w:hint="eastAsia" w:eastAsia="黑体"/>
          <w:sz w:val="44"/>
        </w:rPr>
        <w:t>第一部分  招标公告</w:t>
      </w:r>
    </w:p>
    <w:p w14:paraId="5B6809E9">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bCs/>
          <w:sz w:val="28"/>
          <w:szCs w:val="28"/>
          <w:u w:val="single"/>
          <w:lang w:eastAsia="zh-CN"/>
        </w:rPr>
        <w:t>学生平安保险</w:t>
      </w:r>
      <w:r>
        <w:rPr>
          <w:rFonts w:hint="eastAsia" w:ascii="仿宋_GB2312" w:hAnsi="仿宋_GB2312" w:eastAsia="仿宋_GB2312" w:cs="仿宋_GB2312"/>
          <w:bCs/>
          <w:sz w:val="28"/>
          <w:szCs w:val="28"/>
          <w:u w:val="single"/>
          <w:lang w:val="zh-TW" w:eastAsia="zh-CN"/>
        </w:rPr>
        <w:t>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eastAsia="zh-CN"/>
        </w:rPr>
        <w:t>竞争性磋商</w:t>
      </w:r>
      <w:r>
        <w:rPr>
          <w:rFonts w:hint="eastAsia" w:ascii="仿宋_GB2312" w:hAnsi="仿宋_GB2312" w:eastAsia="仿宋_GB2312" w:cs="仿宋_GB2312"/>
          <w:sz w:val="28"/>
          <w:szCs w:val="28"/>
        </w:rPr>
        <w:t>采购，欢迎合格的潜在投标人参加投标。</w:t>
      </w:r>
    </w:p>
    <w:p w14:paraId="668543CD">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一、招标项目</w:t>
      </w:r>
    </w:p>
    <w:p w14:paraId="0E44AFA6">
      <w:pPr>
        <w:pStyle w:val="7"/>
        <w:spacing w:line="480" w:lineRule="exact"/>
        <w:ind w:firstLine="600"/>
        <w:rPr>
          <w:rFonts w:hint="eastAsia" w:ascii="Times New Roman" w:hAnsi="Times New Roman" w:eastAsia="仿宋_GB2312"/>
          <w:sz w:val="30"/>
          <w:szCs w:val="30"/>
          <w:lang w:eastAsia="zh-CN"/>
        </w:rPr>
      </w:pPr>
      <w:r>
        <w:rPr>
          <w:rFonts w:ascii="Times New Roman" w:hAnsi="Times New Roman" w:eastAsia="仿宋_GB2312"/>
          <w:sz w:val="30"/>
          <w:szCs w:val="30"/>
        </w:rPr>
        <w:t>为进一步提高</w:t>
      </w:r>
      <w:r>
        <w:rPr>
          <w:rFonts w:hint="eastAsia" w:ascii="Times New Roman" w:hAnsi="Times New Roman" w:eastAsia="仿宋_GB2312"/>
          <w:sz w:val="30"/>
          <w:szCs w:val="30"/>
          <w:lang w:eastAsia="zh-CN"/>
        </w:rPr>
        <w:t>学校</w:t>
      </w:r>
      <w:r>
        <w:rPr>
          <w:rFonts w:ascii="Times New Roman" w:hAnsi="Times New Roman" w:eastAsia="仿宋_GB2312"/>
          <w:sz w:val="30"/>
          <w:szCs w:val="30"/>
        </w:rPr>
        <w:t>学生平安保障水平，有效规避与防范学生在校风险，使学生在校学习期间生病住院及发生意外伤害事故能够及时得到经济补偿</w:t>
      </w:r>
      <w:r>
        <w:rPr>
          <w:rFonts w:hint="eastAsia" w:ascii="Times New Roman" w:hAnsi="Times New Roman" w:eastAsia="仿宋_GB2312"/>
          <w:sz w:val="30"/>
          <w:szCs w:val="30"/>
        </w:rPr>
        <w:t>；同时，</w:t>
      </w:r>
      <w:r>
        <w:rPr>
          <w:rFonts w:ascii="Times New Roman" w:hAnsi="Times New Roman" w:eastAsia="仿宋_GB2312"/>
          <w:sz w:val="30"/>
          <w:szCs w:val="30"/>
        </w:rPr>
        <w:t>规范</w:t>
      </w:r>
      <w:r>
        <w:rPr>
          <w:rFonts w:hint="eastAsia" w:ascii="Times New Roman" w:hAnsi="Times New Roman" w:eastAsia="仿宋_GB2312"/>
          <w:sz w:val="30"/>
          <w:szCs w:val="30"/>
          <w:lang w:eastAsia="zh-CN"/>
        </w:rPr>
        <w:t>学校</w:t>
      </w:r>
      <w:r>
        <w:rPr>
          <w:rFonts w:ascii="Times New Roman" w:hAnsi="Times New Roman" w:eastAsia="仿宋_GB2312"/>
          <w:sz w:val="30"/>
          <w:szCs w:val="30"/>
        </w:rPr>
        <w:t>学生保险服务，保证保险质量，维护学生平安、健康及其合法权益，</w:t>
      </w:r>
      <w:r>
        <w:rPr>
          <w:rFonts w:hint="eastAsia" w:ascii="Times New Roman" w:hAnsi="Times New Roman" w:eastAsia="仿宋_GB2312"/>
          <w:sz w:val="30"/>
          <w:szCs w:val="30"/>
          <w:lang w:eastAsia="zh-CN"/>
        </w:rPr>
        <w:t>现对</w:t>
      </w:r>
      <w:r>
        <w:rPr>
          <w:rFonts w:ascii="Times New Roman" w:hAnsi="Times New Roman" w:eastAsia="仿宋_GB2312"/>
          <w:sz w:val="30"/>
          <w:szCs w:val="30"/>
        </w:rPr>
        <w:t>保险服务项目</w:t>
      </w:r>
      <w:r>
        <w:rPr>
          <w:rFonts w:hint="eastAsia" w:ascii="Times New Roman" w:hAnsi="Times New Roman" w:eastAsia="仿宋_GB2312"/>
          <w:sz w:val="30"/>
          <w:szCs w:val="30"/>
          <w:lang w:eastAsia="zh-CN"/>
        </w:rPr>
        <w:t>进行公开招标采购。</w:t>
      </w:r>
    </w:p>
    <w:p w14:paraId="67807D70">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（一）</w:t>
      </w:r>
      <w:r>
        <w:rPr>
          <w:rFonts w:hint="eastAsia" w:ascii="Times New Roman" w:hAnsi="Times New Roman" w:eastAsia="仿宋_GB2312"/>
          <w:sz w:val="30"/>
          <w:szCs w:val="30"/>
          <w:lang w:eastAsia="zh-CN"/>
        </w:rPr>
        <w:t>保险</w:t>
      </w:r>
      <w:r>
        <w:rPr>
          <w:rFonts w:ascii="Times New Roman" w:hAnsi="Times New Roman" w:eastAsia="仿宋_GB2312"/>
          <w:sz w:val="30"/>
          <w:szCs w:val="30"/>
        </w:rPr>
        <w:t>险种：1、学生人身意外伤害保险（主险）；2、学生人身意外伤残保险；3、学生疾病身故保险；4、学生意外伤害医疗保险；5、学生住院医疗保险。</w:t>
      </w:r>
    </w:p>
    <w:p w14:paraId="16B0D2B5">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（二）</w:t>
      </w:r>
      <w:r>
        <w:rPr>
          <w:rFonts w:hint="eastAsia" w:ascii="Times New Roman" w:hAnsi="Times New Roman" w:eastAsia="仿宋_GB2312"/>
          <w:sz w:val="30"/>
          <w:szCs w:val="30"/>
          <w:lang w:eastAsia="zh-CN"/>
        </w:rPr>
        <w:t>服务</w:t>
      </w:r>
      <w:r>
        <w:rPr>
          <w:rFonts w:ascii="Times New Roman" w:hAnsi="Times New Roman" w:eastAsia="仿宋_GB2312"/>
          <w:sz w:val="30"/>
          <w:szCs w:val="30"/>
        </w:rPr>
        <w:t>范围：全校在籍学生</w:t>
      </w:r>
      <w:r>
        <w:rPr>
          <w:rFonts w:hint="eastAsia" w:ascii="Times New Roman" w:hAnsi="Times New Roman" w:eastAsia="仿宋_GB2312"/>
          <w:sz w:val="30"/>
          <w:szCs w:val="30"/>
          <w:lang w:eastAsia="zh-CN"/>
        </w:rPr>
        <w:t>，学生自愿保险</w:t>
      </w:r>
      <w:r>
        <w:rPr>
          <w:rFonts w:hint="eastAsia" w:ascii="Times New Roman" w:hAnsi="Times New Roman" w:eastAsia="仿宋_GB2312"/>
          <w:sz w:val="30"/>
          <w:szCs w:val="30"/>
        </w:rPr>
        <w:t>。</w:t>
      </w:r>
    </w:p>
    <w:p w14:paraId="31756359">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（三）</w:t>
      </w:r>
      <w:r>
        <w:rPr>
          <w:rFonts w:hint="eastAsia" w:ascii="Times New Roman" w:hAnsi="Times New Roman" w:eastAsia="仿宋_GB2312"/>
          <w:sz w:val="30"/>
          <w:szCs w:val="30"/>
          <w:lang w:eastAsia="zh-CN"/>
        </w:rPr>
        <w:t>服务</w:t>
      </w:r>
      <w:r>
        <w:rPr>
          <w:rFonts w:ascii="Times New Roman" w:hAnsi="Times New Roman" w:eastAsia="仿宋_GB2312"/>
          <w:sz w:val="30"/>
          <w:szCs w:val="30"/>
        </w:rPr>
        <w:t>年限：</w:t>
      </w:r>
      <w:r>
        <w:rPr>
          <w:rFonts w:hint="eastAsia" w:ascii="Times New Roman" w:hAnsi="Times New Roman" w:eastAsia="仿宋_GB2312"/>
          <w:sz w:val="30"/>
          <w:szCs w:val="30"/>
          <w:lang w:val="en-US" w:eastAsia="zh-CN"/>
        </w:rPr>
        <w:t>2024—2025学年，</w:t>
      </w:r>
      <w:r>
        <w:rPr>
          <w:rFonts w:ascii="Times New Roman" w:hAnsi="Times New Roman" w:eastAsia="仿宋_GB2312"/>
          <w:sz w:val="30"/>
          <w:szCs w:val="30"/>
        </w:rPr>
        <w:t>保险年限</w:t>
      </w:r>
      <w:r>
        <w:rPr>
          <w:rFonts w:hint="eastAsia" w:ascii="Times New Roman" w:hAnsi="Times New Roman" w:eastAsia="仿宋_GB2312"/>
          <w:sz w:val="30"/>
          <w:szCs w:val="30"/>
          <w:lang w:eastAsia="zh-CN"/>
        </w:rPr>
        <w:t>为</w:t>
      </w:r>
      <w:r>
        <w:rPr>
          <w:rFonts w:hint="eastAsia" w:ascii="Times New Roman" w:hAnsi="Times New Roman" w:eastAsia="仿宋_GB2312"/>
          <w:sz w:val="30"/>
          <w:szCs w:val="30"/>
          <w:lang w:val="en-US" w:eastAsia="zh-CN"/>
        </w:rPr>
        <w:t>1</w:t>
      </w:r>
      <w:r>
        <w:rPr>
          <w:rFonts w:ascii="Times New Roman" w:hAnsi="Times New Roman" w:eastAsia="仿宋_GB2312"/>
          <w:sz w:val="30"/>
          <w:szCs w:val="30"/>
        </w:rPr>
        <w:t>年。</w:t>
      </w:r>
    </w:p>
    <w:p w14:paraId="3B6B50A3">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（四）</w:t>
      </w:r>
      <w:r>
        <w:rPr>
          <w:rFonts w:ascii="Times New Roman" w:hAnsi="Times New Roman" w:eastAsia="仿宋_GB2312"/>
          <w:sz w:val="30"/>
          <w:szCs w:val="30"/>
        </w:rPr>
        <w:t>保险责任、险种及保险金额</w:t>
      </w:r>
      <w:r>
        <w:rPr>
          <w:rFonts w:hint="eastAsia" w:ascii="Times New Roman" w:hAnsi="Times New Roman" w:eastAsia="仿宋_GB2312"/>
          <w:sz w:val="30"/>
          <w:szCs w:val="30"/>
        </w:rPr>
        <w:t>。</w:t>
      </w:r>
    </w:p>
    <w:p w14:paraId="5277B27E">
      <w:pPr>
        <w:adjustRightInd w:val="0"/>
        <w:snapToGrid w:val="0"/>
        <w:spacing w:line="180" w:lineRule="auto"/>
        <w:rPr>
          <w:rFonts w:ascii="Times New Roman" w:hAnsi="Times New Roman" w:eastAsia="仿宋_GB2312"/>
          <w:sz w:val="30"/>
          <w:szCs w:val="3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419"/>
        <w:gridCol w:w="3358"/>
        <w:gridCol w:w="1219"/>
        <w:gridCol w:w="1526"/>
      </w:tblGrid>
      <w:tr w14:paraId="059751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186130F5">
            <w:pPr>
              <w:spacing w:line="240" w:lineRule="atLeast"/>
              <w:jc w:val="center"/>
              <w:rPr>
                <w:rFonts w:ascii="Times New Roman" w:hAnsi="Times New Roman" w:eastAsia="宋体"/>
                <w:sz w:val="24"/>
                <w:szCs w:val="24"/>
              </w:rPr>
            </w:pPr>
            <w:r>
              <w:rPr>
                <w:rFonts w:ascii="Times New Roman" w:hAnsi="宋体" w:eastAsia="宋体"/>
                <w:sz w:val="24"/>
                <w:szCs w:val="24"/>
              </w:rPr>
              <w:t>保险责任</w:t>
            </w:r>
          </w:p>
        </w:tc>
        <w:tc>
          <w:tcPr>
            <w:tcW w:w="1970" w:type="pct"/>
            <w:vAlign w:val="center"/>
          </w:tcPr>
          <w:p w14:paraId="537D893C">
            <w:pPr>
              <w:spacing w:line="240" w:lineRule="atLeast"/>
              <w:jc w:val="center"/>
              <w:rPr>
                <w:rFonts w:ascii="Times New Roman" w:hAnsi="Times New Roman" w:eastAsia="宋体"/>
                <w:sz w:val="24"/>
                <w:szCs w:val="24"/>
              </w:rPr>
            </w:pPr>
            <w:r>
              <w:rPr>
                <w:rFonts w:ascii="Times New Roman" w:hAnsi="宋体" w:eastAsia="宋体"/>
                <w:sz w:val="24"/>
                <w:szCs w:val="24"/>
              </w:rPr>
              <w:t>险种</w:t>
            </w:r>
          </w:p>
        </w:tc>
        <w:tc>
          <w:tcPr>
            <w:tcW w:w="715" w:type="pct"/>
            <w:vAlign w:val="center"/>
          </w:tcPr>
          <w:p w14:paraId="01F675FB">
            <w:pPr>
              <w:spacing w:line="240" w:lineRule="atLeast"/>
              <w:jc w:val="center"/>
              <w:rPr>
                <w:rFonts w:ascii="Times New Roman" w:hAnsi="Times New Roman" w:eastAsia="宋体"/>
                <w:sz w:val="24"/>
                <w:szCs w:val="24"/>
              </w:rPr>
            </w:pPr>
            <w:r>
              <w:rPr>
                <w:rFonts w:ascii="Times New Roman" w:hAnsi="宋体" w:eastAsia="宋体"/>
                <w:sz w:val="24"/>
                <w:szCs w:val="24"/>
              </w:rPr>
              <w:t>保险期间</w:t>
            </w:r>
          </w:p>
        </w:tc>
        <w:tc>
          <w:tcPr>
            <w:tcW w:w="895" w:type="pct"/>
            <w:vAlign w:val="center"/>
          </w:tcPr>
          <w:p w14:paraId="4239B96F">
            <w:pPr>
              <w:spacing w:line="240" w:lineRule="atLeast"/>
              <w:jc w:val="center"/>
              <w:rPr>
                <w:rFonts w:ascii="Times New Roman" w:hAnsi="Times New Roman" w:eastAsia="宋体"/>
                <w:sz w:val="24"/>
                <w:szCs w:val="24"/>
              </w:rPr>
            </w:pPr>
            <w:r>
              <w:rPr>
                <w:rFonts w:ascii="Times New Roman" w:hAnsi="宋体" w:eastAsia="宋体"/>
                <w:sz w:val="24"/>
                <w:szCs w:val="24"/>
              </w:rPr>
              <w:t>保险金额</w:t>
            </w:r>
            <w:r>
              <w:rPr>
                <w:rFonts w:ascii="Times New Roman" w:hAnsi="Times New Roman" w:eastAsia="宋体"/>
                <w:sz w:val="24"/>
                <w:szCs w:val="24"/>
              </w:rPr>
              <w:t>/</w:t>
            </w:r>
            <w:r>
              <w:rPr>
                <w:rFonts w:ascii="Times New Roman" w:hAnsi="宋体" w:eastAsia="宋体"/>
                <w:sz w:val="24"/>
                <w:szCs w:val="24"/>
              </w:rPr>
              <w:t>人</w:t>
            </w:r>
          </w:p>
        </w:tc>
      </w:tr>
      <w:tr w14:paraId="6EF7B6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55D3C540">
            <w:pPr>
              <w:spacing w:line="400" w:lineRule="exact"/>
              <w:jc w:val="center"/>
              <w:rPr>
                <w:rFonts w:ascii="Times New Roman" w:hAnsi="Times New Roman" w:eastAsia="宋体"/>
                <w:sz w:val="24"/>
                <w:szCs w:val="24"/>
              </w:rPr>
            </w:pPr>
            <w:r>
              <w:rPr>
                <w:rFonts w:ascii="Times New Roman" w:hAnsi="宋体" w:eastAsia="宋体"/>
                <w:sz w:val="24"/>
                <w:szCs w:val="24"/>
              </w:rPr>
              <w:t>意外伤害</w:t>
            </w:r>
          </w:p>
        </w:tc>
        <w:tc>
          <w:tcPr>
            <w:tcW w:w="1970" w:type="pct"/>
            <w:vAlign w:val="center"/>
          </w:tcPr>
          <w:p w14:paraId="26899DAA">
            <w:pPr>
              <w:spacing w:line="400" w:lineRule="exact"/>
              <w:jc w:val="center"/>
              <w:rPr>
                <w:rFonts w:ascii="Times New Roman" w:hAnsi="Times New Roman" w:eastAsia="宋体"/>
                <w:sz w:val="24"/>
                <w:szCs w:val="24"/>
              </w:rPr>
            </w:pPr>
            <w:r>
              <w:rPr>
                <w:rFonts w:ascii="Times New Roman" w:hAnsi="宋体" w:eastAsia="宋体"/>
                <w:sz w:val="24"/>
                <w:szCs w:val="24"/>
              </w:rPr>
              <w:t>学生意外伤害保险</w:t>
            </w:r>
          </w:p>
        </w:tc>
        <w:tc>
          <w:tcPr>
            <w:tcW w:w="715" w:type="pct"/>
            <w:vAlign w:val="center"/>
          </w:tcPr>
          <w:p w14:paraId="606BFAED">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6CD16744">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14:paraId="5A6608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2A434F8F">
            <w:pPr>
              <w:spacing w:line="400" w:lineRule="exact"/>
              <w:jc w:val="center"/>
              <w:rPr>
                <w:rFonts w:ascii="Times New Roman" w:hAnsi="Times New Roman" w:eastAsia="宋体"/>
                <w:sz w:val="24"/>
                <w:szCs w:val="24"/>
              </w:rPr>
            </w:pPr>
            <w:r>
              <w:rPr>
                <w:rFonts w:ascii="Times New Roman" w:hAnsi="宋体" w:eastAsia="宋体"/>
                <w:sz w:val="24"/>
                <w:szCs w:val="24"/>
              </w:rPr>
              <w:t>意外伤残</w:t>
            </w:r>
          </w:p>
        </w:tc>
        <w:tc>
          <w:tcPr>
            <w:tcW w:w="1970" w:type="pct"/>
            <w:vAlign w:val="center"/>
          </w:tcPr>
          <w:p w14:paraId="608EBFD2">
            <w:pPr>
              <w:spacing w:line="400" w:lineRule="exact"/>
              <w:jc w:val="center"/>
              <w:rPr>
                <w:rFonts w:ascii="Times New Roman" w:hAnsi="Times New Roman" w:eastAsia="宋体"/>
                <w:sz w:val="24"/>
                <w:szCs w:val="24"/>
              </w:rPr>
            </w:pPr>
            <w:r>
              <w:rPr>
                <w:rFonts w:ascii="Times New Roman" w:hAnsi="宋体" w:eastAsia="宋体"/>
                <w:sz w:val="24"/>
                <w:szCs w:val="24"/>
              </w:rPr>
              <w:t>附加学生意外伤残保险</w:t>
            </w:r>
          </w:p>
        </w:tc>
        <w:tc>
          <w:tcPr>
            <w:tcW w:w="715" w:type="pct"/>
            <w:vAlign w:val="center"/>
          </w:tcPr>
          <w:p w14:paraId="0C93AFBC">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2E5E9666">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14:paraId="3EDC8A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370AEB26">
            <w:pPr>
              <w:spacing w:line="400" w:lineRule="exact"/>
              <w:jc w:val="center"/>
              <w:rPr>
                <w:rFonts w:ascii="Times New Roman" w:hAnsi="Times New Roman" w:eastAsia="宋体"/>
                <w:sz w:val="24"/>
                <w:szCs w:val="24"/>
              </w:rPr>
            </w:pPr>
            <w:r>
              <w:rPr>
                <w:rFonts w:ascii="Times New Roman" w:hAnsi="宋体" w:eastAsia="宋体"/>
                <w:sz w:val="24"/>
                <w:szCs w:val="24"/>
              </w:rPr>
              <w:t>疾病身故</w:t>
            </w:r>
          </w:p>
        </w:tc>
        <w:tc>
          <w:tcPr>
            <w:tcW w:w="1970" w:type="pct"/>
            <w:vAlign w:val="center"/>
          </w:tcPr>
          <w:p w14:paraId="0C627E84">
            <w:pPr>
              <w:spacing w:line="400" w:lineRule="exact"/>
              <w:jc w:val="center"/>
              <w:rPr>
                <w:rFonts w:ascii="Times New Roman" w:hAnsi="Times New Roman" w:eastAsia="宋体"/>
                <w:sz w:val="24"/>
                <w:szCs w:val="24"/>
              </w:rPr>
            </w:pPr>
            <w:r>
              <w:rPr>
                <w:rFonts w:ascii="Times New Roman" w:hAnsi="宋体" w:eastAsia="宋体"/>
                <w:sz w:val="24"/>
                <w:szCs w:val="24"/>
              </w:rPr>
              <w:t>附件学生疾病身故保险</w:t>
            </w:r>
          </w:p>
        </w:tc>
        <w:tc>
          <w:tcPr>
            <w:tcW w:w="715" w:type="pct"/>
            <w:vAlign w:val="center"/>
          </w:tcPr>
          <w:p w14:paraId="2A1EAA1A">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44D4CBA9">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14:paraId="44C9CA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2E5F3708">
            <w:pPr>
              <w:spacing w:line="400" w:lineRule="exact"/>
              <w:jc w:val="center"/>
              <w:rPr>
                <w:rFonts w:ascii="Times New Roman" w:hAnsi="Times New Roman" w:eastAsia="宋体"/>
                <w:sz w:val="24"/>
                <w:szCs w:val="24"/>
              </w:rPr>
            </w:pPr>
            <w:r>
              <w:rPr>
                <w:rFonts w:ascii="Times New Roman" w:hAnsi="宋体" w:eastAsia="宋体"/>
                <w:sz w:val="24"/>
                <w:szCs w:val="24"/>
              </w:rPr>
              <w:t>意外伤害门诊医疗</w:t>
            </w:r>
          </w:p>
        </w:tc>
        <w:tc>
          <w:tcPr>
            <w:tcW w:w="1970" w:type="pct"/>
            <w:vAlign w:val="center"/>
          </w:tcPr>
          <w:p w14:paraId="0562E2BA">
            <w:pPr>
              <w:spacing w:line="400" w:lineRule="exact"/>
              <w:jc w:val="center"/>
              <w:rPr>
                <w:rFonts w:ascii="Times New Roman" w:hAnsi="Times New Roman" w:eastAsia="宋体"/>
                <w:sz w:val="24"/>
                <w:szCs w:val="24"/>
              </w:rPr>
            </w:pPr>
            <w:r>
              <w:rPr>
                <w:rFonts w:ascii="Times New Roman" w:hAnsi="宋体" w:eastAsia="宋体"/>
                <w:sz w:val="24"/>
                <w:szCs w:val="24"/>
              </w:rPr>
              <w:t>附加学生意外伤害医疗保险</w:t>
            </w:r>
          </w:p>
        </w:tc>
        <w:tc>
          <w:tcPr>
            <w:tcW w:w="715" w:type="pct"/>
            <w:vAlign w:val="center"/>
          </w:tcPr>
          <w:p w14:paraId="556E5B6B">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7462C596">
            <w:pPr>
              <w:spacing w:line="400" w:lineRule="exact"/>
              <w:jc w:val="center"/>
              <w:rPr>
                <w:rFonts w:ascii="Times New Roman" w:hAnsi="Times New Roman" w:eastAsia="宋体"/>
                <w:sz w:val="24"/>
                <w:szCs w:val="24"/>
              </w:rPr>
            </w:pPr>
            <w:r>
              <w:rPr>
                <w:rFonts w:ascii="Times New Roman" w:hAnsi="Times New Roman" w:eastAsia="宋体"/>
                <w:sz w:val="24"/>
                <w:szCs w:val="24"/>
              </w:rPr>
              <w:t>0.</w:t>
            </w:r>
            <w:r>
              <w:rPr>
                <w:rFonts w:hint="eastAsia" w:ascii="Times New Roman" w:hAnsi="Times New Roman" w:eastAsia="宋体"/>
                <w:sz w:val="24"/>
                <w:szCs w:val="24"/>
              </w:rPr>
              <w:t>2</w:t>
            </w:r>
            <w:r>
              <w:rPr>
                <w:rFonts w:ascii="Times New Roman" w:hAnsi="宋体" w:eastAsia="宋体"/>
                <w:sz w:val="24"/>
                <w:szCs w:val="24"/>
              </w:rPr>
              <w:t>万元</w:t>
            </w:r>
          </w:p>
        </w:tc>
      </w:tr>
      <w:tr w14:paraId="396E88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198D8B9C">
            <w:pPr>
              <w:spacing w:line="400" w:lineRule="exact"/>
              <w:jc w:val="center"/>
              <w:rPr>
                <w:rFonts w:ascii="Times New Roman" w:hAnsi="Times New Roman" w:eastAsia="宋体"/>
                <w:sz w:val="24"/>
                <w:szCs w:val="24"/>
              </w:rPr>
            </w:pPr>
            <w:r>
              <w:rPr>
                <w:rFonts w:ascii="Times New Roman" w:hAnsi="宋体" w:eastAsia="宋体"/>
                <w:sz w:val="24"/>
                <w:szCs w:val="24"/>
              </w:rPr>
              <w:t>住院医疗</w:t>
            </w:r>
          </w:p>
        </w:tc>
        <w:tc>
          <w:tcPr>
            <w:tcW w:w="1970" w:type="pct"/>
            <w:vAlign w:val="center"/>
          </w:tcPr>
          <w:p w14:paraId="51B78F93">
            <w:pPr>
              <w:spacing w:line="400" w:lineRule="exact"/>
              <w:jc w:val="center"/>
              <w:rPr>
                <w:rFonts w:ascii="Times New Roman" w:hAnsi="Times New Roman" w:eastAsia="宋体"/>
                <w:sz w:val="24"/>
                <w:szCs w:val="24"/>
              </w:rPr>
            </w:pPr>
            <w:r>
              <w:rPr>
                <w:rFonts w:ascii="Times New Roman" w:hAnsi="宋体" w:eastAsia="宋体"/>
                <w:sz w:val="24"/>
                <w:szCs w:val="24"/>
              </w:rPr>
              <w:t>附加学生住院医疗保险</w:t>
            </w:r>
          </w:p>
        </w:tc>
        <w:tc>
          <w:tcPr>
            <w:tcW w:w="715" w:type="pct"/>
            <w:vAlign w:val="center"/>
          </w:tcPr>
          <w:p w14:paraId="2189CA36">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629FFE56">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r>
              <w:rPr>
                <w:rFonts w:ascii="Times New Roman" w:hAnsi="宋体" w:eastAsia="宋体"/>
                <w:sz w:val="24"/>
                <w:szCs w:val="24"/>
              </w:rPr>
              <w:t>万元</w:t>
            </w:r>
          </w:p>
        </w:tc>
      </w:tr>
      <w:tr w14:paraId="56976E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3389" w:type="pct"/>
            <w:gridSpan w:val="2"/>
            <w:vAlign w:val="center"/>
          </w:tcPr>
          <w:p w14:paraId="725CE10A">
            <w:pPr>
              <w:spacing w:line="240" w:lineRule="atLeast"/>
              <w:jc w:val="center"/>
              <w:rPr>
                <w:rFonts w:ascii="Times New Roman" w:hAnsi="Times New Roman" w:eastAsia="宋体"/>
                <w:sz w:val="24"/>
                <w:szCs w:val="24"/>
              </w:rPr>
            </w:pPr>
            <w:r>
              <w:rPr>
                <w:rFonts w:ascii="Times New Roman" w:hAnsi="宋体" w:eastAsia="宋体"/>
                <w:sz w:val="24"/>
                <w:szCs w:val="24"/>
              </w:rPr>
              <w:t>保险总金额</w:t>
            </w:r>
          </w:p>
        </w:tc>
        <w:tc>
          <w:tcPr>
            <w:tcW w:w="1610" w:type="pct"/>
            <w:gridSpan w:val="2"/>
            <w:vAlign w:val="center"/>
          </w:tcPr>
          <w:p w14:paraId="336732EF">
            <w:pPr>
              <w:spacing w:line="240" w:lineRule="atLeast"/>
              <w:jc w:val="center"/>
              <w:rPr>
                <w:rFonts w:ascii="Times New Roman" w:hAnsi="Times New Roman" w:eastAsia="宋体"/>
                <w:sz w:val="24"/>
                <w:szCs w:val="24"/>
              </w:rPr>
            </w:pPr>
            <w:r>
              <w:rPr>
                <w:rFonts w:hint="eastAsia" w:ascii="Times New Roman" w:hAnsi="Times New Roman" w:eastAsia="宋体"/>
                <w:sz w:val="24"/>
                <w:szCs w:val="24"/>
              </w:rPr>
              <w:t>12.2</w:t>
            </w:r>
            <w:r>
              <w:rPr>
                <w:rFonts w:ascii="Times New Roman" w:hAnsi="宋体" w:eastAsia="宋体"/>
                <w:sz w:val="24"/>
                <w:szCs w:val="24"/>
              </w:rPr>
              <w:t>万元</w:t>
            </w:r>
            <w:r>
              <w:rPr>
                <w:rFonts w:ascii="Times New Roman" w:hAnsi="Times New Roman" w:eastAsia="宋体"/>
                <w:sz w:val="24"/>
                <w:szCs w:val="24"/>
              </w:rPr>
              <w:t>/</w:t>
            </w:r>
            <w:r>
              <w:rPr>
                <w:rFonts w:ascii="Times New Roman" w:hAnsi="宋体" w:eastAsia="宋体"/>
                <w:sz w:val="24"/>
                <w:szCs w:val="24"/>
              </w:rPr>
              <w:t>人</w:t>
            </w:r>
            <w:r>
              <w:rPr>
                <w:rFonts w:ascii="Times New Roman" w:hAnsi="Times New Roman" w:eastAsia="宋体"/>
                <w:sz w:val="24"/>
                <w:szCs w:val="24"/>
              </w:rPr>
              <w:t>/</w:t>
            </w:r>
            <w:r>
              <w:rPr>
                <w:rFonts w:ascii="Times New Roman" w:hAnsi="宋体" w:eastAsia="宋体"/>
                <w:sz w:val="24"/>
                <w:szCs w:val="24"/>
              </w:rPr>
              <w:t>年</w:t>
            </w:r>
          </w:p>
        </w:tc>
      </w:tr>
      <w:tr w14:paraId="3953CE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3389" w:type="pct"/>
            <w:gridSpan w:val="2"/>
            <w:vAlign w:val="center"/>
          </w:tcPr>
          <w:p w14:paraId="2586CB10">
            <w:pPr>
              <w:spacing w:line="240" w:lineRule="atLeast"/>
              <w:jc w:val="center"/>
              <w:rPr>
                <w:rFonts w:ascii="Times New Roman" w:hAnsi="Times New Roman" w:eastAsia="宋体"/>
                <w:sz w:val="24"/>
                <w:szCs w:val="24"/>
              </w:rPr>
            </w:pPr>
            <w:r>
              <w:rPr>
                <w:rFonts w:ascii="Times New Roman" w:hAnsi="宋体" w:eastAsia="宋体"/>
                <w:sz w:val="24"/>
                <w:szCs w:val="24"/>
              </w:rPr>
              <w:t>承保方案</w:t>
            </w:r>
          </w:p>
        </w:tc>
        <w:tc>
          <w:tcPr>
            <w:tcW w:w="1610" w:type="pct"/>
            <w:gridSpan w:val="2"/>
            <w:vAlign w:val="center"/>
          </w:tcPr>
          <w:p w14:paraId="50493DCB">
            <w:pPr>
              <w:spacing w:line="240" w:lineRule="atLeast"/>
              <w:rPr>
                <w:rFonts w:ascii="Times New Roman" w:hAnsi="Times New Roman" w:eastAsia="宋体"/>
                <w:sz w:val="24"/>
                <w:szCs w:val="24"/>
              </w:rPr>
            </w:pPr>
            <w:r>
              <w:rPr>
                <w:rFonts w:ascii="Times New Roman" w:hAnsi="Times New Roman" w:eastAsia="宋体"/>
                <w:sz w:val="24"/>
                <w:szCs w:val="24"/>
              </w:rPr>
              <w:t>1.</w:t>
            </w:r>
            <w:r>
              <w:rPr>
                <w:rFonts w:ascii="Times New Roman" w:hAnsi="宋体" w:eastAsia="宋体"/>
                <w:sz w:val="24"/>
                <w:szCs w:val="24"/>
              </w:rPr>
              <w:t>学生因意外或疾病身故（含猝死），一次性赔付</w:t>
            </w: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万元；学生因意外导致伤残，最高赔付</w:t>
            </w: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p w14:paraId="2B185FE5">
            <w:pPr>
              <w:spacing w:line="240" w:lineRule="atLeast"/>
              <w:rPr>
                <w:rFonts w:ascii="Times New Roman" w:hAnsi="Times New Roman" w:eastAsia="宋体"/>
                <w:sz w:val="24"/>
                <w:szCs w:val="24"/>
              </w:rPr>
            </w:pPr>
            <w:r>
              <w:rPr>
                <w:rFonts w:ascii="Times New Roman" w:hAnsi="Times New Roman" w:eastAsia="宋体"/>
                <w:sz w:val="24"/>
                <w:szCs w:val="24"/>
              </w:rPr>
              <w:t>2.</w:t>
            </w:r>
            <w:r>
              <w:rPr>
                <w:rFonts w:ascii="Times New Roman" w:hAnsi="宋体" w:eastAsia="宋体"/>
                <w:sz w:val="24"/>
                <w:szCs w:val="24"/>
              </w:rPr>
              <w:t>学生因意外门诊治疗免赔额</w:t>
            </w:r>
            <w:r>
              <w:rPr>
                <w:rFonts w:ascii="Times New Roman" w:hAnsi="Times New Roman" w:eastAsia="宋体"/>
                <w:sz w:val="24"/>
                <w:szCs w:val="24"/>
              </w:rPr>
              <w:t>100</w:t>
            </w:r>
            <w:r>
              <w:rPr>
                <w:rFonts w:ascii="Times New Roman" w:hAnsi="宋体" w:eastAsia="宋体"/>
                <w:sz w:val="24"/>
                <w:szCs w:val="24"/>
              </w:rPr>
              <w:t>元，</w:t>
            </w:r>
            <w:r>
              <w:rPr>
                <w:rFonts w:ascii="Times New Roman" w:hAnsi="Times New Roman" w:eastAsia="宋体"/>
                <w:sz w:val="24"/>
                <w:szCs w:val="24"/>
              </w:rPr>
              <w:t>90%</w:t>
            </w:r>
            <w:r>
              <w:rPr>
                <w:rFonts w:ascii="Times New Roman" w:hAnsi="宋体" w:eastAsia="宋体"/>
                <w:sz w:val="24"/>
                <w:szCs w:val="24"/>
              </w:rPr>
              <w:t>赔付，最高</w:t>
            </w:r>
            <w:r>
              <w:rPr>
                <w:rFonts w:ascii="Times New Roman" w:hAnsi="Times New Roman" w:eastAsia="宋体"/>
                <w:sz w:val="24"/>
                <w:szCs w:val="24"/>
              </w:rPr>
              <w:t>0.</w:t>
            </w:r>
            <w:r>
              <w:rPr>
                <w:rFonts w:hint="eastAsia" w:ascii="Times New Roman" w:hAnsi="Times New Roman" w:eastAsia="宋体"/>
                <w:sz w:val="24"/>
                <w:szCs w:val="24"/>
              </w:rPr>
              <w:t>2</w:t>
            </w:r>
            <w:r>
              <w:rPr>
                <w:rFonts w:ascii="Times New Roman" w:hAnsi="宋体" w:eastAsia="宋体"/>
                <w:sz w:val="24"/>
                <w:szCs w:val="24"/>
              </w:rPr>
              <w:t>万元。</w:t>
            </w:r>
          </w:p>
          <w:p w14:paraId="3C209CDB">
            <w:pPr>
              <w:spacing w:line="240" w:lineRule="atLeast"/>
              <w:rPr>
                <w:rFonts w:ascii="Times New Roman" w:hAnsi="Times New Roman" w:eastAsia="宋体"/>
                <w:sz w:val="24"/>
                <w:szCs w:val="24"/>
              </w:rPr>
            </w:pPr>
            <w:r>
              <w:rPr>
                <w:rFonts w:ascii="Times New Roman" w:hAnsi="Times New Roman" w:eastAsia="宋体"/>
                <w:sz w:val="24"/>
                <w:szCs w:val="24"/>
              </w:rPr>
              <w:t>3.</w:t>
            </w:r>
            <w:r>
              <w:rPr>
                <w:rFonts w:ascii="Times New Roman" w:hAnsi="宋体" w:eastAsia="宋体"/>
                <w:sz w:val="24"/>
                <w:szCs w:val="24"/>
              </w:rPr>
              <w:t>附加学生住院医疗保险按实际医疗费用与对应赔付比例支付，免赔额为</w:t>
            </w:r>
            <w:r>
              <w:rPr>
                <w:rFonts w:ascii="Times New Roman" w:hAnsi="Times New Roman" w:eastAsia="宋体"/>
                <w:sz w:val="24"/>
                <w:szCs w:val="24"/>
              </w:rPr>
              <w:t>100</w:t>
            </w:r>
            <w:r>
              <w:rPr>
                <w:rFonts w:ascii="Times New Roman" w:hAnsi="宋体" w:eastAsia="宋体"/>
                <w:sz w:val="24"/>
                <w:szCs w:val="24"/>
              </w:rPr>
              <w:t>元，</w:t>
            </w:r>
            <w:r>
              <w:rPr>
                <w:rFonts w:ascii="Times New Roman" w:hAnsi="Times New Roman" w:eastAsia="宋体"/>
                <w:sz w:val="24"/>
                <w:szCs w:val="24"/>
              </w:rPr>
              <w:t>100</w:t>
            </w:r>
            <w:r>
              <w:rPr>
                <w:rFonts w:ascii="Times New Roman" w:hAnsi="宋体" w:eastAsia="宋体"/>
                <w:sz w:val="24"/>
                <w:szCs w:val="24"/>
              </w:rPr>
              <w:t>元以上至</w:t>
            </w:r>
            <w:r>
              <w:rPr>
                <w:rFonts w:ascii="Times New Roman" w:hAnsi="Times New Roman" w:eastAsia="宋体"/>
                <w:sz w:val="24"/>
                <w:szCs w:val="24"/>
              </w:rPr>
              <w:t>5000</w:t>
            </w:r>
            <w:r>
              <w:rPr>
                <w:rFonts w:ascii="Times New Roman" w:hAnsi="宋体" w:eastAsia="宋体"/>
                <w:sz w:val="24"/>
                <w:szCs w:val="24"/>
              </w:rPr>
              <w:t>以下部分按</w:t>
            </w:r>
            <w:r>
              <w:rPr>
                <w:rFonts w:ascii="Times New Roman" w:hAnsi="Times New Roman" w:eastAsia="宋体"/>
                <w:sz w:val="24"/>
                <w:szCs w:val="24"/>
              </w:rPr>
              <w:t>50%</w:t>
            </w:r>
            <w:r>
              <w:rPr>
                <w:rFonts w:ascii="Times New Roman" w:hAnsi="宋体" w:eastAsia="宋体"/>
                <w:sz w:val="24"/>
                <w:szCs w:val="24"/>
              </w:rPr>
              <w:t>比例赔付；</w:t>
            </w:r>
            <w:r>
              <w:rPr>
                <w:rFonts w:ascii="Times New Roman" w:hAnsi="Times New Roman" w:eastAsia="宋体"/>
                <w:sz w:val="24"/>
                <w:szCs w:val="24"/>
              </w:rPr>
              <w:t>5000</w:t>
            </w:r>
            <w:r>
              <w:rPr>
                <w:rFonts w:ascii="Times New Roman" w:hAnsi="宋体" w:eastAsia="宋体"/>
                <w:sz w:val="24"/>
                <w:szCs w:val="24"/>
              </w:rPr>
              <w:t>以上至</w:t>
            </w:r>
            <w:r>
              <w:rPr>
                <w:rFonts w:ascii="Times New Roman" w:hAnsi="Times New Roman" w:eastAsia="宋体"/>
                <w:sz w:val="24"/>
                <w:szCs w:val="24"/>
              </w:rPr>
              <w:t>10000</w:t>
            </w:r>
            <w:r>
              <w:rPr>
                <w:rFonts w:ascii="Times New Roman" w:hAnsi="宋体" w:eastAsia="宋体"/>
                <w:sz w:val="24"/>
                <w:szCs w:val="24"/>
              </w:rPr>
              <w:t>以下部分按</w:t>
            </w:r>
            <w:r>
              <w:rPr>
                <w:rFonts w:ascii="Times New Roman" w:hAnsi="Times New Roman" w:eastAsia="宋体"/>
                <w:sz w:val="24"/>
                <w:szCs w:val="24"/>
              </w:rPr>
              <w:t>60%</w:t>
            </w:r>
            <w:r>
              <w:rPr>
                <w:rFonts w:ascii="Times New Roman" w:hAnsi="宋体" w:eastAsia="宋体"/>
                <w:sz w:val="24"/>
                <w:szCs w:val="24"/>
              </w:rPr>
              <w:t>赔付；</w:t>
            </w:r>
            <w:r>
              <w:rPr>
                <w:rFonts w:ascii="Times New Roman" w:hAnsi="Times New Roman" w:eastAsia="宋体"/>
                <w:sz w:val="24"/>
                <w:szCs w:val="24"/>
              </w:rPr>
              <w:t>10000</w:t>
            </w:r>
            <w:r>
              <w:rPr>
                <w:rFonts w:ascii="Times New Roman" w:hAnsi="宋体" w:eastAsia="宋体"/>
                <w:sz w:val="24"/>
                <w:szCs w:val="24"/>
              </w:rPr>
              <w:t>元以上至</w:t>
            </w:r>
            <w:r>
              <w:rPr>
                <w:rFonts w:ascii="Times New Roman" w:hAnsi="Times New Roman" w:eastAsia="宋体"/>
                <w:sz w:val="24"/>
                <w:szCs w:val="24"/>
              </w:rPr>
              <w:t>15000</w:t>
            </w:r>
            <w:r>
              <w:rPr>
                <w:rFonts w:ascii="Times New Roman" w:hAnsi="宋体" w:eastAsia="宋体"/>
                <w:sz w:val="24"/>
                <w:szCs w:val="24"/>
              </w:rPr>
              <w:t>元以下部分按</w:t>
            </w:r>
            <w:r>
              <w:rPr>
                <w:rFonts w:ascii="Times New Roman" w:hAnsi="Times New Roman" w:eastAsia="宋体"/>
                <w:sz w:val="24"/>
                <w:szCs w:val="24"/>
              </w:rPr>
              <w:t>80%</w:t>
            </w:r>
            <w:r>
              <w:rPr>
                <w:rFonts w:ascii="Times New Roman" w:hAnsi="宋体" w:eastAsia="宋体"/>
                <w:sz w:val="24"/>
                <w:szCs w:val="24"/>
              </w:rPr>
              <w:t>赔付。</w:t>
            </w:r>
          </w:p>
          <w:p w14:paraId="1082D7C6">
            <w:pPr>
              <w:spacing w:line="240" w:lineRule="atLeast"/>
              <w:rPr>
                <w:rFonts w:ascii="Times New Roman" w:hAnsi="Times New Roman" w:eastAsia="宋体"/>
                <w:sz w:val="24"/>
                <w:szCs w:val="24"/>
              </w:rPr>
            </w:pPr>
            <w:r>
              <w:rPr>
                <w:rFonts w:ascii="Times New Roman" w:hAnsi="Times New Roman" w:eastAsia="宋体"/>
                <w:sz w:val="24"/>
                <w:szCs w:val="24"/>
              </w:rPr>
              <w:t>4.</w:t>
            </w:r>
            <w:r>
              <w:rPr>
                <w:rFonts w:ascii="Times New Roman" w:hAnsi="宋体" w:eastAsia="宋体"/>
                <w:sz w:val="24"/>
                <w:szCs w:val="24"/>
              </w:rPr>
              <w:t>无免责期。</w:t>
            </w:r>
          </w:p>
        </w:tc>
      </w:tr>
    </w:tbl>
    <w:p w14:paraId="48B3C38B">
      <w:pPr>
        <w:pStyle w:val="7"/>
        <w:spacing w:line="520" w:lineRule="exact"/>
        <w:ind w:firstLine="450" w:firstLineChars="150"/>
        <w:rPr>
          <w:rFonts w:hint="eastAsia" w:ascii="Times New Roman" w:hAnsi="Times New Roman" w:eastAsia="楷体_GB2312"/>
          <w:b/>
          <w:sz w:val="30"/>
          <w:szCs w:val="30"/>
        </w:rPr>
      </w:pPr>
      <w:r>
        <w:rPr>
          <w:rFonts w:hint="eastAsia" w:ascii="Times New Roman" w:hAnsi="Times New Roman" w:eastAsia="仿宋_GB2312"/>
          <w:sz w:val="30"/>
          <w:szCs w:val="30"/>
        </w:rPr>
        <w:t>（五）</w:t>
      </w:r>
      <w:r>
        <w:rPr>
          <w:rFonts w:ascii="Times New Roman" w:hAnsi="Times New Roman" w:eastAsia="仿宋_GB2312"/>
          <w:sz w:val="30"/>
          <w:szCs w:val="30"/>
        </w:rPr>
        <w:t>主险、附加险保险费</w:t>
      </w:r>
      <w:r>
        <w:rPr>
          <w:rFonts w:hint="eastAsia" w:ascii="Times New Roman" w:hAnsi="Times New Roman" w:eastAsia="仿宋_GB2312"/>
          <w:sz w:val="30"/>
          <w:szCs w:val="30"/>
          <w:lang w:eastAsia="zh-CN"/>
        </w:rPr>
        <w:t>预算为</w:t>
      </w:r>
      <w:r>
        <w:rPr>
          <w:rFonts w:hint="eastAsia" w:ascii="Times New Roman" w:hAnsi="Times New Roman" w:eastAsia="仿宋_GB2312"/>
          <w:b/>
          <w:bCs/>
          <w:sz w:val="30"/>
          <w:szCs w:val="30"/>
          <w:lang w:val="en-US" w:eastAsia="zh-CN"/>
        </w:rPr>
        <w:t>30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/年—40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w:t>
      </w:r>
      <w:r>
        <w:rPr>
          <w:rFonts w:hint="eastAsia" w:ascii="Times New Roman" w:hAnsi="Times New Roman" w:eastAsia="仿宋_GB2312"/>
          <w:b/>
          <w:bCs/>
          <w:sz w:val="36"/>
          <w:szCs w:val="36"/>
          <w:lang w:val="en-US" w:eastAsia="zh-CN"/>
        </w:rPr>
        <w:t>投标人的报价需为整数，以1元为基数，</w:t>
      </w:r>
      <w:r>
        <w:rPr>
          <w:rFonts w:hint="eastAsia" w:ascii="Times New Roman" w:hAnsi="Times New Roman" w:eastAsia="仿宋_GB2312"/>
          <w:b/>
          <w:bCs/>
          <w:sz w:val="30"/>
          <w:szCs w:val="30"/>
          <w:lang w:val="en-US" w:eastAsia="zh-CN"/>
        </w:rPr>
        <w:t>在30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/年—40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/年进行区间报价</w:t>
      </w:r>
      <w:r>
        <w:rPr>
          <w:rFonts w:hint="eastAsia" w:ascii="Times New Roman" w:hAnsi="Times New Roman" w:eastAsia="仿宋_GB2312"/>
          <w:sz w:val="30"/>
          <w:szCs w:val="30"/>
        </w:rPr>
        <w:t>。</w:t>
      </w:r>
    </w:p>
    <w:p w14:paraId="5A31062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备注：具体保险人数按实结算，按中标价执行，任何一方中标人不得就实际保险人数向招标人提出任何异议。</w:t>
      </w:r>
    </w:p>
    <w:p w14:paraId="5E3B4D2C">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二、合格</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供应商须具备的资格条件</w:t>
      </w:r>
    </w:p>
    <w:p w14:paraId="43965E4C">
      <w:pPr>
        <w:snapToGrid w:val="0"/>
        <w:spacing w:line="5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14:paraId="207D43BA">
      <w:pPr>
        <w:snapToGrid w:val="0"/>
        <w:spacing w:line="560" w:lineRule="exact"/>
        <w:ind w:firstLine="560" w:firstLineChars="200"/>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color w:val="000000"/>
          <w:sz w:val="28"/>
          <w:szCs w:val="28"/>
          <w:lang w:eastAsia="zh-CN"/>
        </w:rPr>
        <w:t>为</w:t>
      </w:r>
      <w:r>
        <w:rPr>
          <w:rFonts w:hint="eastAsia" w:ascii="仿宋_GB2312" w:eastAsia="仿宋_GB2312" w:cs="仿宋_GB2312"/>
          <w:color w:val="000000"/>
          <w:sz w:val="28"/>
          <w:szCs w:val="28"/>
        </w:rPr>
        <w:t>国有或国有控股保险机构</w:t>
      </w:r>
      <w:r>
        <w:rPr>
          <w:rFonts w:hint="eastAsia" w:ascii="仿宋_GB2312" w:eastAsia="仿宋_GB2312" w:cs="仿宋_GB2312"/>
          <w:color w:val="000000"/>
          <w:sz w:val="28"/>
          <w:szCs w:val="28"/>
          <w:lang w:eastAsia="zh-CN"/>
        </w:rPr>
        <w:t>，具有中华人民共和国经营保险业务许可证，符合中国银行保险监督管理委员会批准的学生平安保险条款，具有短期健康保险和意外伤害保险经营资格。</w:t>
      </w:r>
    </w:p>
    <w:p w14:paraId="5FEF2FA2">
      <w:pPr>
        <w:snapToGrid w:val="0"/>
        <w:spacing w:line="560" w:lineRule="exact"/>
        <w:ind w:firstLine="560" w:firstLineChars="200"/>
        <w:rPr>
          <w:rFonts w:hint="eastAsia" w:ascii="仿宋_GB2312" w:eastAsia="仿宋_GB2312" w:cs="仿宋_GB2312"/>
          <w:b/>
          <w:bCs/>
          <w:color w:val="000000"/>
          <w:sz w:val="28"/>
          <w:szCs w:val="28"/>
          <w:u w:val="single"/>
          <w:lang w:eastAsia="zh-CN"/>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中华人民共和国经营保险业务许可证（复印件盖公章）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28"/>
          <w:szCs w:val="28"/>
          <w:u w:val="single"/>
          <w:lang w:eastAsia="zh-CN"/>
        </w:rPr>
        <w:t>，授权委托人需为本单位正式员工（提供投标截止日前三个月之内任意一个月在投标人本单位缴纳社保证明））</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32"/>
          <w:szCs w:val="32"/>
        </w:rPr>
        <w:t>（原件备查）</w:t>
      </w:r>
    </w:p>
    <w:p w14:paraId="17560FA4">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377639C6">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5.投标人在盐城机构近3年来（2021年1月1日以来）未因经营被国家金融管理总局（原中国银行保险监督管理委员会）处以20万元人民币以上罚款的。</w:t>
      </w:r>
    </w:p>
    <w:p w14:paraId="329FF9C6">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lang w:eastAsia="zh-CN"/>
        </w:rPr>
        <w:t>本项目不接受联合体投标，</w:t>
      </w:r>
      <w:r>
        <w:rPr>
          <w:rFonts w:hint="eastAsia" w:ascii="仿宋_GB2312" w:eastAsia="仿宋_GB2312" w:cs="仿宋_GB2312"/>
          <w:color w:val="000000"/>
          <w:sz w:val="28"/>
          <w:szCs w:val="28"/>
        </w:rPr>
        <w:t>法定代表人为同一人或者存在直接控股、管理关系的不同投标人，不得同时参加本项目投标</w:t>
      </w:r>
      <w:r>
        <w:rPr>
          <w:rFonts w:hint="eastAsia" w:ascii="仿宋_GB2312" w:eastAsia="仿宋_GB2312" w:cs="仿宋_GB2312"/>
          <w:color w:val="000000"/>
          <w:sz w:val="28"/>
          <w:szCs w:val="28"/>
          <w:lang w:eastAsia="zh-CN"/>
        </w:rPr>
        <w:t>。</w:t>
      </w:r>
    </w:p>
    <w:p w14:paraId="0737987F">
      <w:pPr>
        <w:spacing w:line="560" w:lineRule="exact"/>
        <w:ind w:firstLine="562" w:firstLineChars="200"/>
        <w:rPr>
          <w:rFonts w:hint="eastAsia" w:ascii="仿宋_GB2312" w:hAnsi="仿宋_GB2312" w:eastAsia="仿宋_GB2312" w:cs="仿宋_GB2312"/>
          <w:kern w:val="0"/>
          <w:sz w:val="28"/>
          <w:szCs w:val="28"/>
        </w:rPr>
      </w:pPr>
      <w:r>
        <w:rPr>
          <w:rFonts w:hint="eastAsia" w:ascii="黑体" w:hAnsi="黑体" w:eastAsia="黑体" w:cs="黑体"/>
          <w:b/>
          <w:bCs/>
          <w:sz w:val="28"/>
          <w:szCs w:val="28"/>
        </w:rPr>
        <w:t>三、招标内容及要求</w:t>
      </w:r>
    </w:p>
    <w:p w14:paraId="24CBFF48">
      <w:p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1．招标内容</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学生保险</w:t>
      </w:r>
      <w:r>
        <w:rPr>
          <w:rFonts w:hint="eastAsia" w:ascii="仿宋_GB2312" w:eastAsia="仿宋_GB2312" w:cs="仿宋_GB2312"/>
          <w:color w:val="000000"/>
          <w:sz w:val="28"/>
          <w:szCs w:val="28"/>
        </w:rPr>
        <w:t>。</w:t>
      </w:r>
    </w:p>
    <w:p w14:paraId="4E2FECD5">
      <w:pPr>
        <w:spacing w:line="56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：30元（含）/人/年—40元（含）/人/年，低于或超过预算的报价为无效报价。</w:t>
      </w:r>
    </w:p>
    <w:p w14:paraId="47D0D76F">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四、投标保证金及履约保证金</w:t>
      </w:r>
    </w:p>
    <w:p w14:paraId="422E4FA2">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1.本项目投标保证金为</w:t>
      </w:r>
      <w:r>
        <w:rPr>
          <w:rFonts w:hint="eastAsia" w:ascii="仿宋_GB2312" w:hAnsi="仿宋_GB2312" w:eastAsia="仿宋_GB2312" w:cs="仿宋_GB2312"/>
          <w:b/>
          <w:color w:val="000000" w:themeColor="text1"/>
          <w:sz w:val="28"/>
          <w:szCs w:val="28"/>
          <w14:textFill>
            <w14:solidFill>
              <w14:schemeClr w14:val="tx1"/>
            </w14:solidFill>
          </w14:textFill>
        </w:rPr>
        <w:t>人民币</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2</w:t>
      </w:r>
      <w:r>
        <w:rPr>
          <w:rFonts w:hint="eastAsia" w:ascii="仿宋_GB2312" w:hAnsi="仿宋_GB2312" w:eastAsia="仿宋_GB2312" w:cs="仿宋_GB2312"/>
          <w:b/>
          <w:color w:val="000000" w:themeColor="text1"/>
          <w:sz w:val="28"/>
          <w:szCs w:val="28"/>
          <w:u w:val="single"/>
          <w14:textFill>
            <w14:solidFill>
              <w14:schemeClr w14:val="tx1"/>
            </w14:solidFill>
          </w14:textFill>
        </w:rPr>
        <w:t>000</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0</w:t>
      </w:r>
      <w:r>
        <w:rPr>
          <w:rFonts w:hint="eastAsia" w:ascii="仿宋_GB2312" w:hAnsi="仿宋_GB2312" w:eastAsia="仿宋_GB2312" w:cs="仿宋_GB2312"/>
          <w:b/>
          <w:color w:val="000000" w:themeColor="text1"/>
          <w:sz w:val="28"/>
          <w:szCs w:val="28"/>
          <w:u w:val="single"/>
          <w14:textFill>
            <w14:solidFill>
              <w14:schemeClr w14:val="tx1"/>
            </w14:solidFill>
          </w14:textFill>
        </w:rPr>
        <w:t>元</w:t>
      </w:r>
      <w:r>
        <w:rPr>
          <w:rFonts w:hint="eastAsia" w:ascii="仿宋_GB2312" w:hAnsi="仿宋_GB2312" w:eastAsia="仿宋_GB2312" w:cs="仿宋_GB2312"/>
          <w:color w:val="000000" w:themeColor="text1"/>
          <w:sz w:val="28"/>
          <w:szCs w:val="28"/>
          <w14:textFill>
            <w14:solidFill>
              <w14:schemeClr w14:val="tx1"/>
            </w14:solidFill>
          </w14:textFill>
        </w:rPr>
        <w:t>，</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162FD55F">
      <w:pPr>
        <w:spacing w:line="5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2.投标保证金核验方式为：</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递交的同时，投标单位将本票或汇票直接提交给</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接收人员。未按上述要求提交保证金交款凭据的，</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将不予接收。</w:t>
      </w:r>
    </w:p>
    <w:p w14:paraId="7781C8D5">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元。</w:t>
      </w:r>
    </w:p>
    <w:p w14:paraId="24C17D86">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14:paraId="7696FA81">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14:paraId="73E1420E">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14:paraId="1DC7994B">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14:paraId="49C51DE5">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14:paraId="54068BC5">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14:paraId="3BA8CC00">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5.招标结束后，招标人可组织有关部门对中标人进行实地考察，一经发现中标人有虚假行为的，将取消中标资格，没收投标保证金，作为不良行为清退出江苏省盐城技师学院招标市场，打入黑名单。</w:t>
      </w:r>
    </w:p>
    <w:p w14:paraId="4E654D40">
      <w:pPr>
        <w:spacing w:line="560" w:lineRule="exact"/>
        <w:ind w:firstLine="560" w:firstLineChars="200"/>
        <w:rPr>
          <w:rFonts w:ascii="黑体" w:hAnsi="黑体" w:eastAsia="黑体" w:cs="黑体"/>
          <w:b/>
          <w:bCs/>
          <w:sz w:val="28"/>
          <w:szCs w:val="28"/>
        </w:rPr>
      </w:pPr>
      <w:r>
        <w:rPr>
          <w:rFonts w:hint="eastAsia" w:ascii="仿宋_GB2312" w:hAnsi="仿宋_GB2312" w:eastAsia="仿宋_GB2312" w:cs="仿宋_GB2312"/>
          <w:sz w:val="28"/>
          <w:szCs w:val="28"/>
        </w:rPr>
        <w:t>6.履约保证金的退还：按合同要求</w:t>
      </w:r>
      <w:r>
        <w:rPr>
          <w:rFonts w:hint="eastAsia" w:ascii="仿宋_GB2312" w:hAnsi="仿宋_GB2312" w:eastAsia="仿宋_GB2312" w:cs="仿宋_GB2312"/>
          <w:sz w:val="28"/>
          <w:szCs w:val="28"/>
          <w:lang w:eastAsia="zh-CN"/>
        </w:rPr>
        <w:t>提供服务</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服务期限</w:t>
      </w:r>
      <w:r>
        <w:rPr>
          <w:rFonts w:hint="eastAsia" w:ascii="仿宋_GB2312" w:hAnsi="仿宋_GB2312" w:eastAsia="仿宋_GB2312" w:cs="仿宋_GB2312"/>
          <w:sz w:val="28"/>
          <w:szCs w:val="28"/>
        </w:rPr>
        <w:t>满后全额退还。</w:t>
      </w:r>
    </w:p>
    <w:p w14:paraId="6074BB39">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五、报名、竞争性</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文件发售、</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响应文件递交截止时间、开标时间及地点</w:t>
      </w:r>
    </w:p>
    <w:p w14:paraId="296DC655">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hint="eastAsia" w:ascii="仿宋_GB2312" w:hAnsi="仿宋_GB2312" w:eastAsia="仿宋_GB2312" w:cs="仿宋_GB2312"/>
          <w:color w:val="000000"/>
          <w:sz w:val="28"/>
          <w:szCs w:val="28"/>
        </w:rPr>
        <w:t>1.报名、</w:t>
      </w:r>
      <w:r>
        <w:rPr>
          <w:rFonts w:hint="eastAsia" w:ascii="仿宋_GB2312" w:hAnsi="仿宋_GB2312" w:eastAsia="仿宋_GB2312" w:cs="仿宋_GB2312"/>
          <w:color w:val="000000"/>
          <w:sz w:val="28"/>
          <w:szCs w:val="28"/>
          <w:lang w:eastAsia="zh-CN"/>
        </w:rPr>
        <w:t>竞争性磋商</w:t>
      </w:r>
      <w:r>
        <w:rPr>
          <w:rFonts w:hint="eastAsia" w:ascii="仿宋_GB2312" w:hAnsi="仿宋_GB2312" w:eastAsia="仿宋_GB2312" w:cs="仿宋_GB2312"/>
          <w:color w:val="000000"/>
          <w:sz w:val="28"/>
          <w:szCs w:val="28"/>
        </w:rPr>
        <w:t>文件发售时间：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26</w:t>
      </w:r>
      <w:bookmarkStart w:id="0" w:name="_GoBack"/>
      <w:bookmarkEnd w:id="0"/>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1C7DB237">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4AC10753">
      <w:pPr>
        <w:shd w:val="clear" w:color="auto" w:fill="FFFFFF"/>
        <w:spacing w:line="56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607225FF">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2.</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w:t>
      </w:r>
      <w:r>
        <w:rPr>
          <w:rFonts w:hint="eastAsia" w:ascii="仿宋_GB2312" w:hAnsi="仿宋_GB2312" w:eastAsia="仿宋_GB2312" w:cs="仿宋_GB2312"/>
          <w:color w:val="000000" w:themeColor="text1"/>
          <w:sz w:val="28"/>
          <w:szCs w:val="28"/>
          <w14:textFill>
            <w14:solidFill>
              <w14:schemeClr w14:val="tx1"/>
            </w14:solidFill>
          </w14:textFill>
        </w:rPr>
        <w:t>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 xml:space="preserve">00 </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 xml:space="preserve">00  </w:t>
      </w:r>
      <w:r>
        <w:rPr>
          <w:rFonts w:hint="eastAsia" w:ascii="仿宋_GB2312" w:hAnsi="仿宋_GB2312" w:eastAsia="仿宋_GB2312" w:cs="仿宋_GB2312"/>
          <w:b/>
          <w:color w:val="000000"/>
          <w:sz w:val="28"/>
          <w:szCs w:val="28"/>
          <w:u w:val="single"/>
        </w:rPr>
        <w:t>秒；</w:t>
      </w:r>
    </w:p>
    <w:p w14:paraId="00B90242">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28322BC1">
      <w:pPr>
        <w:adjustRightInd w:val="0"/>
        <w:snapToGrid w:val="0"/>
        <w:spacing w:line="50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递交及开标地点：</w:t>
      </w:r>
      <w:r>
        <w:rPr>
          <w:rFonts w:hint="eastAsia" w:ascii="仿宋_GB2312" w:hAnsi="??" w:eastAsia="仿宋_GB2312"/>
          <w:color w:val="000000"/>
          <w:sz w:val="28"/>
          <w:szCs w:val="28"/>
          <w:lang w:val="en-US" w:eastAsia="zh-CN"/>
        </w:rPr>
        <w:t>江苏省盐城技师学院海洋路校区（盐城市盐都区海洋路29号匠心楼17楼1414会议室）</w:t>
      </w:r>
      <w:r>
        <w:rPr>
          <w:rFonts w:hint="eastAsia" w:ascii="仿宋_GB2312" w:hAnsi="??" w:eastAsia="仿宋_GB2312"/>
          <w:color w:val="000000"/>
          <w:sz w:val="28"/>
          <w:szCs w:val="28"/>
        </w:rPr>
        <w:t>；</w:t>
      </w:r>
    </w:p>
    <w:p w14:paraId="13FF6D13">
      <w:pPr>
        <w:adjustRightInd w:val="0"/>
        <w:snapToGrid w:val="0"/>
        <w:spacing w:line="56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p>
    <w:p w14:paraId="63F55E56">
      <w:pPr>
        <w:adjustRightInd w:val="0"/>
        <w:snapToGrid w:val="0"/>
        <w:spacing w:line="500" w:lineRule="exact"/>
        <w:ind w:firstLine="560" w:firstLineChars="200"/>
        <w:rPr>
          <w:rFonts w:hint="eastAsia" w:ascii="仿宋_GB2312" w:hAnsi="??" w:eastAsia="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86325B5">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159D914F">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王老师</w:t>
      </w:r>
      <w:r>
        <w:rPr>
          <w:rFonts w:hint="eastAsia" w:ascii="仿宋_GB2312" w:hAnsi="??" w:eastAsia="仿宋_GB2312" w:cs="仿宋_GB2312"/>
          <w:color w:val="000000"/>
          <w:sz w:val="28"/>
          <w:szCs w:val="28"/>
          <w:lang w:val="en-US" w:eastAsia="zh-CN"/>
        </w:rPr>
        <w:t>/</w:t>
      </w:r>
      <w:r>
        <w:rPr>
          <w:rFonts w:hint="eastAsia" w:ascii="仿宋_GB2312" w:hAnsi="??" w:eastAsia="仿宋_GB2312" w:cs="仿宋_GB2312"/>
          <w:color w:val="000000"/>
          <w:sz w:val="28"/>
          <w:szCs w:val="28"/>
          <w:lang w:eastAsia="zh-CN"/>
        </w:rPr>
        <w:t>邵</w:t>
      </w:r>
      <w:r>
        <w:rPr>
          <w:rFonts w:hint="eastAsia" w:ascii="仿宋_GB2312" w:hAnsi="??" w:eastAsia="仿宋_GB2312" w:cs="仿宋_GB2312"/>
          <w:color w:val="000000"/>
          <w:sz w:val="28"/>
          <w:szCs w:val="28"/>
        </w:rPr>
        <w:t>老师，办公电话：0515—68661002），对于无故临时放弃投标的投标人，我校将根据情况将投标单位纳入招投标黑名单。对您的支持与配合，谨此致谢。</w:t>
      </w:r>
    </w:p>
    <w:p w14:paraId="2F22D870">
      <w:pPr>
        <w:spacing w:line="360" w:lineRule="auto"/>
        <w:rPr>
          <w:rFonts w:hint="eastAsia" w:ascii="仿宋_GB2312" w:eastAsia="仿宋_GB2312"/>
          <w:sz w:val="28"/>
          <w:szCs w:val="28"/>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磋商响应文件</w:t>
      </w:r>
      <w:r>
        <w:rPr>
          <w:rFonts w:hint="eastAsia" w:ascii="仿宋_GB2312" w:hAnsi="仿宋_GB2312" w:eastAsia="仿宋_GB2312" w:cs="仿宋_GB2312"/>
          <w:b/>
          <w:bCs/>
          <w:color w:val="000000"/>
          <w:sz w:val="28"/>
          <w:szCs w:val="28"/>
        </w:rPr>
        <w:t>时须同时递交投标保证金交款凭据，本次投标保证金以银行本票或汇票形式（提供银行本票或汇票，谢绝其他形式）缴纳，开标前带至开标现场（详见投标保证金条款的相关规定）</w:t>
      </w:r>
      <w:r>
        <w:rPr>
          <w:rFonts w:hint="eastAsia" w:ascii="仿宋_GB2312" w:hAnsi="仿宋_GB2312" w:eastAsia="仿宋_GB2312" w:cs="仿宋_GB2312"/>
          <w:b/>
          <w:bCs/>
          <w:color w:val="000000"/>
          <w:sz w:val="28"/>
          <w:szCs w:val="28"/>
          <w:lang w:eastAsia="zh-CN"/>
        </w:rPr>
        <w:t>。</w:t>
      </w:r>
    </w:p>
    <w:p w14:paraId="2EA93B35">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七、其他</w:t>
      </w:r>
    </w:p>
    <w:p w14:paraId="2E329AF5">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0197EC4E">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1ADB7DA6">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6FF14BFC">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74427DE3">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5"/>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14:paraId="73FB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404B3B53">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14:paraId="08F382D7">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14:paraId="002B4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048CC185">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14:paraId="74608C64">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53916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14:paraId="7A34AB92">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14:paraId="51ED91D6">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27078420">
      <w:pPr>
        <w:spacing w:beforeLines="50" w:afterLines="50" w:line="480" w:lineRule="exact"/>
        <w:jc w:val="center"/>
        <w:rPr>
          <w:rFonts w:hint="eastAsia" w:eastAsia="黑体"/>
          <w:sz w:val="44"/>
        </w:rPr>
      </w:pPr>
    </w:p>
    <w:p w14:paraId="3FD2906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2B96D34"/>
    <w:rsid w:val="0C54536A"/>
    <w:rsid w:val="12B96D34"/>
    <w:rsid w:val="29215311"/>
    <w:rsid w:val="297178A3"/>
    <w:rsid w:val="2C687786"/>
    <w:rsid w:val="402C6F40"/>
    <w:rsid w:val="47893ACF"/>
    <w:rsid w:val="50893782"/>
    <w:rsid w:val="50E41479"/>
    <w:rsid w:val="5BB46AA9"/>
    <w:rsid w:val="605D1C91"/>
    <w:rsid w:val="687248B0"/>
    <w:rsid w:val="6E9F56E1"/>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